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eorgia" w:hAnsi="Georgia"/>
          <w:b w:val="0"/>
          <w:color w:val="021720"/>
          <w:sz w:val="32"/>
        </w:rPr>
        <w:t>graylemon</w:t>
      </w:r>
    </w:p>
    <w:p>
      <w:pPr>
        <w:spacing w:after="280"/>
      </w:pPr>
      <w:r>
        <w:rPr>
          <w:rFonts w:ascii="Arial" w:hAnsi="Arial"/>
          <w:b/>
          <w:color w:val="0040F7"/>
          <w:sz w:val="16"/>
        </w:rPr>
        <w:t>TEMPLATE · AGENCY WHITE-LABEL BRIEF</w:t>
      </w:r>
    </w:p>
    <w:p>
      <w:pPr>
        <w:spacing w:after="160"/>
      </w:pPr>
      <w:r>
        <w:rPr>
          <w:rFonts w:ascii="Georgia" w:hAnsi="Georgia"/>
          <w:b w:val="0"/>
          <w:color w:val="021720"/>
          <w:sz w:val="44"/>
        </w:rPr>
        <w:t>Agency white-label brief</w:t>
      </w:r>
    </w:p>
    <w:p>
      <w:pPr>
        <w:spacing w:after="280"/>
      </w:pPr>
      <w:r>
        <w:rPr>
          <w:rFonts w:ascii="Arial" w:hAnsi="Arial"/>
          <w:b w:val="0"/>
          <w:color w:val="5A6A70"/>
          <w:sz w:val="21"/>
        </w:rPr>
        <w:t>For agencies briefing a white-label AI partner. It answers the questions the partner would otherwise have to ask your client, which they shouldn't, and settles who keeps what before the first project.</w:t>
      </w:r>
    </w:p>
    <w:p>
      <w:pPr>
        <w:spacing w:after="120" w:before="240"/>
      </w:pPr>
      <w:r>
        <w:rPr>
          <w:rFonts w:ascii="Georgia" w:hAnsi="Georgia"/>
          <w:b/>
          <w:color w:val="021720"/>
          <w:sz w:val="26"/>
        </w:rPr>
        <w:t>The client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The client and their business, in a paragraph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The request, in the client's words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What we think they actually need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after="120" w:before="240"/>
      </w:pPr>
      <w:r>
        <w:rPr>
          <w:rFonts w:ascii="Georgia" w:hAnsi="Georgia"/>
          <w:b/>
          <w:color w:val="021720"/>
          <w:sz w:val="26"/>
        </w:rPr>
        <w:t>The users and the moment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Who would use it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The moment in their day it would matter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after="120" w:before="240"/>
      </w:pPr>
      <w:r>
        <w:rPr>
          <w:rFonts w:ascii="Georgia" w:hAnsi="Georgia"/>
          <w:b/>
          <w:color w:val="021720"/>
          <w:sz w:val="26"/>
        </w:rPr>
        <w:t>What exists already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Site or product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Systems it would connect to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Data the client holds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after="120" w:before="240"/>
      </w:pPr>
      <w:r>
        <w:rPr>
          <w:rFonts w:ascii="Georgia" w:hAnsi="Georgia"/>
          <w:b/>
          <w:color w:val="021720"/>
          <w:sz w:val="26"/>
        </w:rPr>
        <w:t>Brand and taste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What it must look and sound like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Who on our side decides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after="120" w:before="240"/>
      </w:pPr>
      <w:r>
        <w:rPr>
          <w:rFonts w:ascii="Georgia" w:hAnsi="Georgia"/>
          <w:b/>
          <w:color w:val="021720"/>
          <w:sz w:val="26"/>
        </w:rPr>
        <w:t>Constraints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Timing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Budget range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Where data may be stored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  <w:tr>
        <w:trPr>
          <w:trHeight w:val="624"/>
        </w:trPr>
        <w:tc>
          <w:tcPr>
            <w:tcW w:type="dxa" w:w="3402"/>
            <w:shd w:val="clear" w:color="auto" w:fill="F4F5F7"/>
          </w:tcPr>
          <w:p>
            <w:r>
              <w:rPr>
                <w:b/>
              </w:rPr>
              <w:t>Anything regulated</w:t>
            </w:r>
          </w:p>
        </w:tc>
        <w:tc>
          <w:tcPr>
            <w:tcW w:type="dxa" w:w="6009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after="120" w:before="240"/>
      </w:pPr>
      <w:r>
        <w:rPr>
          <w:rFonts w:ascii="Georgia" w:hAnsi="Georgia"/>
          <w:b/>
          <w:color w:val="021720"/>
          <w:sz w:val="26"/>
        </w:rPr>
        <w:t>What the client must never see</w:t>
      </w:r>
    </w:p>
    <w:p>
      <w:pPr>
        <w:spacing w:after="60"/>
      </w:pPr>
      <w:r>
        <w:rPr>
          <w:rFonts w:ascii="Arial" w:hAnsi="Arial"/>
          <w:b w:val="0"/>
          <w:color w:val="021720"/>
          <w:sz w:val="21"/>
        </w:rPr>
        <w:t>☐  The partner's name</w:t>
      </w:r>
    </w:p>
    <w:p>
      <w:pPr>
        <w:spacing w:after="60"/>
      </w:pPr>
      <w:r>
        <w:rPr>
          <w:rFonts w:ascii="Arial" w:hAnsi="Arial"/>
          <w:b w:val="0"/>
          <w:color w:val="021720"/>
          <w:sz w:val="21"/>
        </w:rPr>
        <w:t>☐  The partner's tools and channels</w:t>
      </w:r>
    </w:p>
    <w:p>
      <w:pPr>
        <w:spacing w:after="60"/>
      </w:pPr>
      <w:r>
        <w:rPr>
          <w:rFonts w:ascii="Arial" w:hAnsi="Arial"/>
          <w:b w:val="0"/>
          <w:color w:val="021720"/>
          <w:sz w:val="21"/>
        </w:rPr>
        <w:t>☐  The partner's invoices</w:t>
      </w:r>
    </w:p>
    <w:p>
      <w:pPr>
        <w:spacing w:after="120" w:before="240"/>
      </w:pPr>
      <w:r>
        <w:rPr>
          <w:rFonts w:ascii="Georgia" w:hAnsi="Georgia"/>
          <w:b/>
          <w:color w:val="021720"/>
          <w:sz w:val="26"/>
        </w:rPr>
        <w:t>Who keeps what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E6ECFF"/>
          </w:tcPr>
          <w:p>
            <w:r>
              <w:rPr>
                <w:b/>
                <w:sz w:val="19"/>
              </w:rPr>
              <w:t>Stays with the agency</w:t>
            </w:r>
          </w:p>
        </w:tc>
        <w:tc>
          <w:tcPr>
            <w:tcW w:type="dxa" w:w="4873"/>
            <w:shd w:val="clear" w:color="auto" w:fill="E6ECFF"/>
          </w:tcPr>
          <w:p>
            <w:r>
              <w:rPr>
                <w:b/>
                <w:sz w:val="19"/>
              </w:rPr>
              <w:t>Moves to the partner</w:t>
            </w:r>
          </w:p>
        </w:tc>
      </w:tr>
      <w:tr>
        <w:trPr>
          <w:trHeight w:val="567"/>
        </w:trPr>
        <w:tc>
          <w:tcPr>
            <w:tcW w:type="dxa" w:w="4873"/>
          </w:tcPr>
          <w:p>
            <w:r>
              <w:rPr>
                <w:sz w:val="19"/>
              </w:rPr>
              <w:t>The client relationship and every conversation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Product decisions: where a model helps, where rules will do</w:t>
            </w:r>
          </w:p>
        </w:tc>
      </w:tr>
      <w:tr>
        <w:trPr>
          <w:trHeight w:val="567"/>
        </w:trPr>
        <w:tc>
          <w:tcPr>
            <w:tcW w:type="dxa" w:w="4873"/>
          </w:tcPr>
          <w:p>
            <w:r>
              <w:rPr>
                <w:sz w:val="19"/>
              </w:rPr>
              <w:t>The brief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The architecture, the build and the tests</w:t>
            </w:r>
          </w:p>
        </w:tc>
      </w:tr>
      <w:tr>
        <w:trPr>
          <w:trHeight w:val="567"/>
        </w:trPr>
        <w:tc>
          <w:tcPr>
            <w:tcW w:type="dxa" w:w="4873"/>
          </w:tcPr>
          <w:p>
            <w:r>
              <w:rPr>
                <w:sz w:val="19"/>
              </w:rPr>
              <w:t>Taste: brand, look, voice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The evaluation that proves it works</w:t>
            </w:r>
          </w:p>
        </w:tc>
      </w:tr>
      <w:tr>
        <w:trPr>
          <w:trHeight w:val="567"/>
        </w:trPr>
        <w:tc>
          <w:tcPr>
            <w:tcW w:type="dxa" w:w="4873"/>
          </w:tcPr>
          <w:p>
            <w:r>
              <w:rPr>
                <w:sz w:val="19"/>
              </w:rPr>
              <w:t>Commercial terms with the client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The technical handover, into the client's accounts</w:t>
            </w:r>
          </w:p>
        </w:tc>
      </w:tr>
    </w:tbl>
    <w:p>
      <w:pPr>
        <w:spacing w:after="40"/>
      </w:pPr>
    </w:p>
    <w:p>
      <w:pPr>
        <w:spacing w:after="120" w:before="240"/>
      </w:pPr>
      <w:r>
        <w:rPr>
          <w:rFonts w:ascii="Georgia" w:hAnsi="Georgia"/>
          <w:b/>
          <w:color w:val="021720"/>
          <w:sz w:val="26"/>
        </w:rPr>
        <w:t>Contract terms to confirm</w:t>
      </w:r>
    </w:p>
    <w:p>
      <w:pPr>
        <w:spacing w:after="60"/>
      </w:pPr>
      <w:r>
        <w:rPr>
          <w:rFonts w:ascii="Arial" w:hAnsi="Arial"/>
          <w:b w:val="0"/>
          <w:color w:val="021720"/>
          <w:sz w:val="21"/>
        </w:rPr>
        <w:t>☐  Non-solicitation, during the project and after it</w:t>
      </w:r>
    </w:p>
    <w:p>
      <w:pPr>
        <w:spacing w:after="60"/>
      </w:pPr>
      <w:r>
        <w:rPr>
          <w:rFonts w:ascii="Arial" w:hAnsi="Arial"/>
          <w:b w:val="0"/>
          <w:color w:val="021720"/>
          <w:sz w:val="21"/>
        </w:rPr>
        <w:t>☐  The work and its IP transfer on payment</w:t>
      </w:r>
    </w:p>
    <w:p>
      <w:pPr>
        <w:spacing w:after="60"/>
      </w:pPr>
      <w:r>
        <w:rPr>
          <w:rFonts w:ascii="Arial" w:hAnsi="Arial"/>
          <w:b w:val="0"/>
          <w:color w:val="021720"/>
          <w:sz w:val="21"/>
        </w:rPr>
        <w:t>☐  Code and data in the client's accounts from the first day</w:t>
      </w:r>
    </w:p>
    <w:p>
      <w:pPr>
        <w:spacing w:after="60"/>
      </w:pPr>
      <w:r>
        <w:rPr>
          <w:rFonts w:ascii="Arial" w:hAnsi="Arial"/>
          <w:b w:val="0"/>
          <w:color w:val="021720"/>
          <w:sz w:val="21"/>
        </w:rPr>
        <w:t>☐  We can stop at any milestone and pay only for completed milestones</w:t>
      </w:r>
    </w:p>
    <w:p>
      <w:pPr>
        <w:spacing w:after="60"/>
      </w:pPr>
      <w:r>
        <w:rPr>
          <w:rFonts w:ascii="Arial" w:hAnsi="Arial"/>
          <w:b w:val="0"/>
          <w:color w:val="021720"/>
          <w:sz w:val="21"/>
        </w:rPr>
        <w:t>☐  The partner doesn't show the client's work without permission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A70"/>
        <w:sz w:val="16"/>
      </w:rPr>
      <w:t>graylemon.io/resources/templates/agency-white-label-brief  · 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2172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white-label brief</dc:title>
  <dc:subject/>
  <dc:creator>Graylemon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